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F" w:rsidRPr="00442A9F" w:rsidRDefault="00442A9F" w:rsidP="00442A9F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442A9F">
        <w:rPr>
          <w:b/>
          <w:sz w:val="32"/>
          <w:szCs w:val="32"/>
          <w:shd w:val="clear" w:color="auto" w:fill="FFFFFF"/>
        </w:rPr>
        <w:t>VOSO TONGA 2016</w:t>
      </w:r>
    </w:p>
    <w:p w:rsidR="00442A9F" w:rsidRPr="00442A9F" w:rsidRDefault="00442A9F" w:rsidP="00442A9F">
      <w:pPr>
        <w:pStyle w:val="ecxmsonormal"/>
        <w:shd w:val="clear" w:color="auto" w:fill="FFFFFF"/>
        <w:spacing w:before="0" w:beforeAutospacing="0" w:after="324" w:afterAutospacing="0" w:line="320" w:lineRule="atLeast"/>
        <w:jc w:val="center"/>
        <w:rPr>
          <w:rFonts w:ascii="Calibri" w:hAnsi="Calibri" w:cs="Arial"/>
          <w:b/>
          <w:color w:val="222222"/>
          <w:sz w:val="23"/>
          <w:szCs w:val="23"/>
          <w:shd w:val="clear" w:color="auto" w:fill="FFFFFF"/>
        </w:rPr>
      </w:pPr>
      <w:r w:rsidRPr="00442A9F">
        <w:rPr>
          <w:rFonts w:ascii="Calibri" w:hAnsi="Calibri" w:cs="Arial"/>
          <w:b/>
          <w:color w:val="222222"/>
          <w:sz w:val="23"/>
          <w:szCs w:val="23"/>
          <w:shd w:val="clear" w:color="auto" w:fill="FFFFFF"/>
        </w:rPr>
        <w:t>August 8-13</w:t>
      </w:r>
    </w:p>
    <w:p w:rsidR="00442A9F" w:rsidRDefault="00442A9F" w:rsidP="006A3F75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 w:cs="Arial"/>
          <w:color w:val="222222"/>
          <w:sz w:val="23"/>
          <w:szCs w:val="23"/>
          <w:shd w:val="clear" w:color="auto" w:fill="FFFFFF"/>
        </w:rPr>
      </w:pPr>
    </w:p>
    <w:p w:rsidR="006A3F75" w:rsidRDefault="008E1A8B" w:rsidP="006A3F75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proofErr w:type="spellStart"/>
      <w:r w:rsidRPr="0068654D">
        <w:rPr>
          <w:rFonts w:ascii="Calibri" w:hAnsi="Calibri" w:cs="Arial"/>
          <w:color w:val="222222"/>
          <w:sz w:val="23"/>
          <w:szCs w:val="23"/>
          <w:shd w:val="clear" w:color="auto" w:fill="FFFFFF"/>
        </w:rPr>
        <w:t>Mālō</w:t>
      </w:r>
      <w:proofErr w:type="spellEnd"/>
      <w:r w:rsidRPr="0068654D">
        <w:rPr>
          <w:rFonts w:ascii="Calibri" w:hAnsi="Calibri" w:cs="Arial"/>
          <w:color w:val="222222"/>
          <w:sz w:val="23"/>
          <w:szCs w:val="23"/>
          <w:shd w:val="clear" w:color="auto" w:fill="FFFFFF"/>
        </w:rPr>
        <w:t xml:space="preserve"> e </w:t>
      </w:r>
      <w:proofErr w:type="spellStart"/>
      <w:r w:rsidRPr="0068654D">
        <w:rPr>
          <w:rFonts w:ascii="Calibri" w:hAnsi="Calibri" w:cs="Arial"/>
          <w:color w:val="222222"/>
          <w:sz w:val="23"/>
          <w:szCs w:val="23"/>
          <w:shd w:val="clear" w:color="auto" w:fill="FFFFFF"/>
        </w:rPr>
        <w:t>lelei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A3F75">
        <w:rPr>
          <w:rFonts w:ascii="Calibri" w:hAnsi="Calibri"/>
          <w:color w:val="444444"/>
          <w:sz w:val="23"/>
          <w:szCs w:val="23"/>
        </w:rPr>
        <w:t xml:space="preserve">from the Kingdom of Tonga! The 2016 VOSO (Voluntary Ophthalmic Services Overseas) trip to </w:t>
      </w:r>
      <w:proofErr w:type="spellStart"/>
      <w:r w:rsidR="006A3F75">
        <w:rPr>
          <w:rFonts w:ascii="Calibri" w:hAnsi="Calibri"/>
          <w:color w:val="444444"/>
          <w:sz w:val="23"/>
          <w:szCs w:val="23"/>
        </w:rPr>
        <w:t>Nuku</w:t>
      </w:r>
      <w:proofErr w:type="spellEnd"/>
      <w:r w:rsidR="006A3F75">
        <w:rPr>
          <w:rFonts w:ascii="Calibri" w:hAnsi="Calibri"/>
          <w:color w:val="444444"/>
          <w:sz w:val="23"/>
          <w:szCs w:val="23"/>
        </w:rPr>
        <w:t xml:space="preserve"> ‘</w:t>
      </w:r>
      <w:proofErr w:type="spellStart"/>
      <w:r w:rsidR="006A3F75">
        <w:rPr>
          <w:rFonts w:ascii="Calibri" w:hAnsi="Calibri"/>
          <w:color w:val="444444"/>
          <w:sz w:val="23"/>
          <w:szCs w:val="23"/>
        </w:rPr>
        <w:t>Alofa</w:t>
      </w:r>
      <w:proofErr w:type="spellEnd"/>
      <w:r w:rsidR="006A3F75">
        <w:rPr>
          <w:rFonts w:ascii="Calibri" w:hAnsi="Calibri"/>
          <w:color w:val="444444"/>
          <w:sz w:val="23"/>
          <w:szCs w:val="23"/>
        </w:rPr>
        <w:t>, Tonga this August included a Kiwi team of two ophthalmologists (Dr Andrew Riley from Auckland and Dr Jean-Paul Blanc now based in Hervey Bay, Queensland) and two optometrist</w:t>
      </w:r>
      <w:r w:rsidR="003E27BD">
        <w:rPr>
          <w:rFonts w:ascii="Calibri" w:hAnsi="Calibri"/>
          <w:color w:val="444444"/>
          <w:sz w:val="23"/>
          <w:szCs w:val="23"/>
        </w:rPr>
        <w:t>s</w:t>
      </w:r>
      <w:r w:rsidR="006A3F75">
        <w:rPr>
          <w:rFonts w:ascii="Calibri" w:hAnsi="Calibri"/>
          <w:color w:val="444444"/>
          <w:sz w:val="23"/>
          <w:szCs w:val="23"/>
        </w:rPr>
        <w:t xml:space="preserve"> (Richard Johnson and I, also from Auckland).</w:t>
      </w:r>
    </w:p>
    <w:p w:rsidR="003E27BD" w:rsidRDefault="006A3F75" w:rsidP="006A3F75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Our working week was spent at </w:t>
      </w:r>
      <w:proofErr w:type="spellStart"/>
      <w:r>
        <w:rPr>
          <w:rFonts w:ascii="Calibri" w:hAnsi="Calibri"/>
          <w:color w:val="444444"/>
          <w:sz w:val="23"/>
          <w:szCs w:val="23"/>
        </w:rPr>
        <w:t>Vaiola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Hospital, in the Japanese government-built eye clinic. This involved a walk-in clinic service for patients requiring an eye exam or glasses, recalls for diabetic screening, as well as lists of </w:t>
      </w:r>
      <w:r w:rsidR="003E27BD">
        <w:rPr>
          <w:rFonts w:ascii="Calibri" w:hAnsi="Calibri"/>
          <w:color w:val="444444"/>
          <w:sz w:val="23"/>
          <w:szCs w:val="23"/>
        </w:rPr>
        <w:t xml:space="preserve">mostly </w:t>
      </w:r>
      <w:r>
        <w:rPr>
          <w:rFonts w:ascii="Calibri" w:hAnsi="Calibri"/>
          <w:color w:val="444444"/>
          <w:sz w:val="23"/>
          <w:szCs w:val="23"/>
        </w:rPr>
        <w:t>pre-booked cataract surgeries.</w:t>
      </w:r>
      <w:r w:rsidR="003E27BD">
        <w:rPr>
          <w:rFonts w:ascii="Calibri" w:hAnsi="Calibri"/>
          <w:color w:val="444444"/>
          <w:sz w:val="23"/>
          <w:szCs w:val="23"/>
        </w:rPr>
        <w:t xml:space="preserve"> </w:t>
      </w:r>
      <w:r>
        <w:rPr>
          <w:rFonts w:ascii="Calibri" w:hAnsi="Calibri"/>
          <w:color w:val="444444"/>
          <w:sz w:val="23"/>
          <w:szCs w:val="23"/>
        </w:rPr>
        <w:t xml:space="preserve"> In total we saw 225 patients who were refracted and screened for diabetes and general ocular health. </w:t>
      </w:r>
      <w:r w:rsidR="00140069">
        <w:rPr>
          <w:rFonts w:ascii="Calibri" w:hAnsi="Calibri"/>
          <w:color w:val="444444"/>
          <w:sz w:val="23"/>
          <w:szCs w:val="23"/>
        </w:rPr>
        <w:t xml:space="preserve">There was a 64% female to 36% male split. </w:t>
      </w:r>
      <w:r w:rsidR="001F6A67">
        <w:rPr>
          <w:rFonts w:ascii="Calibri" w:hAnsi="Calibri"/>
          <w:color w:val="444444"/>
          <w:sz w:val="23"/>
          <w:szCs w:val="23"/>
        </w:rPr>
        <w:t xml:space="preserve">We did not keep a count of the number of glasses dispensed, however these were mostly single vision, with the occasional bifocal, and a handful of prescriptions given out to the patients. </w:t>
      </w:r>
      <w:r w:rsidR="003E27BD">
        <w:rPr>
          <w:rFonts w:ascii="Calibri" w:hAnsi="Calibri"/>
          <w:color w:val="444444"/>
          <w:sz w:val="23"/>
          <w:szCs w:val="23"/>
        </w:rPr>
        <w:t xml:space="preserve">The breakdown is shown below, which also shows the number of </w:t>
      </w:r>
      <w:proofErr w:type="spellStart"/>
      <w:r w:rsidR="003E27BD">
        <w:rPr>
          <w:rFonts w:ascii="Calibri" w:hAnsi="Calibri"/>
          <w:color w:val="444444"/>
          <w:sz w:val="23"/>
          <w:szCs w:val="23"/>
        </w:rPr>
        <w:t>pr</w:t>
      </w:r>
      <w:r w:rsidR="00FD51C5">
        <w:rPr>
          <w:rFonts w:ascii="Calibri" w:hAnsi="Calibri"/>
          <w:color w:val="444444"/>
          <w:sz w:val="23"/>
          <w:szCs w:val="23"/>
        </w:rPr>
        <w:t>esbyopic</w:t>
      </w:r>
      <w:proofErr w:type="spellEnd"/>
      <w:r w:rsidR="00FD51C5">
        <w:rPr>
          <w:rFonts w:ascii="Calibri" w:hAnsi="Calibri"/>
          <w:color w:val="444444"/>
          <w:sz w:val="23"/>
          <w:szCs w:val="23"/>
        </w:rPr>
        <w:t xml:space="preserve"> prescriptions</w:t>
      </w:r>
      <w:r w:rsidR="003E27BD">
        <w:rPr>
          <w:rFonts w:ascii="Calibri" w:hAnsi="Calibri"/>
          <w:color w:val="444444"/>
          <w:sz w:val="23"/>
          <w:szCs w:val="23"/>
        </w:rPr>
        <w:t xml:space="preserve"> a</w:t>
      </w:r>
      <w:r w:rsidR="001F6A67">
        <w:rPr>
          <w:rFonts w:ascii="Calibri" w:hAnsi="Calibri"/>
          <w:color w:val="444444"/>
          <w:sz w:val="23"/>
          <w:szCs w:val="23"/>
        </w:rPr>
        <w:t xml:space="preserve">s a separate entity to myopic/hyperopic </w:t>
      </w:r>
      <w:r w:rsidR="003E27BD">
        <w:rPr>
          <w:rFonts w:ascii="Calibri" w:hAnsi="Calibri"/>
          <w:color w:val="444444"/>
          <w:sz w:val="23"/>
          <w:szCs w:val="23"/>
        </w:rPr>
        <w:t>refractions:</w:t>
      </w:r>
    </w:p>
    <w:p w:rsidR="00C33BBA" w:rsidRDefault="00C33BBA" w:rsidP="006A3F75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</w:p>
    <w:tbl>
      <w:tblPr>
        <w:tblW w:w="5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741"/>
        <w:gridCol w:w="717"/>
        <w:gridCol w:w="774"/>
        <w:gridCol w:w="796"/>
      </w:tblGrid>
      <w:tr w:rsidR="003E27BD" w:rsidRPr="003E27BD" w:rsidTr="003E27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 w:eastAsia="en-NZ"/>
              </w:rPr>
              <w:t>Diagnosis</w:t>
            </w:r>
            <w:r w:rsidRPr="003E27BD">
              <w:rPr>
                <w:rFonts w:eastAsia="Times New Roman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b/>
                <w:bCs/>
                <w:lang w:val="en-US" w:eastAsia="en-NZ"/>
              </w:rPr>
              <w:t>Gender</w:t>
            </w: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Female</w:t>
            </w: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ind w:left="25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Male</w:t>
            </w: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eastAsia="en-NZ"/>
              </w:rPr>
              <w:t> </w:t>
            </w:r>
          </w:p>
        </w:tc>
      </w:tr>
      <w:tr w:rsidR="003E27BD" w:rsidRPr="003E27BD" w:rsidTr="003E27B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sz w:val="28"/>
                <w:szCs w:val="28"/>
                <w:lang w:val="en-US" w:eastAsia="en-NZ"/>
              </w:rPr>
              <w:t>Presbyopia</w:t>
            </w:r>
            <w:r w:rsidRPr="003E27BD">
              <w:rPr>
                <w:rFonts w:eastAsia="Times New Roman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56</w:t>
            </w: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45</w:t>
            </w: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eastAsia="en-NZ"/>
              </w:rPr>
              <w:t> </w:t>
            </w:r>
          </w:p>
        </w:tc>
      </w:tr>
      <w:tr w:rsidR="003E27BD" w:rsidRPr="003E27BD" w:rsidTr="003E27BD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1F6A67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>
              <w:rPr>
                <w:rFonts w:eastAsia="Times New Roman"/>
                <w:sz w:val="28"/>
                <w:szCs w:val="28"/>
                <w:lang w:val="en-US" w:eastAsia="en-NZ"/>
              </w:rPr>
              <w:t>Myopia/Hyperopia</w:t>
            </w:r>
            <w:r w:rsidR="003E27BD" w:rsidRPr="003E27BD">
              <w:rPr>
                <w:rFonts w:eastAsia="Times New Roman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87</w:t>
            </w: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37</w:t>
            </w: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eastAsia="en-NZ"/>
              </w:rPr>
              <w:t> </w:t>
            </w:r>
          </w:p>
        </w:tc>
      </w:tr>
      <w:tr w:rsidR="003E27BD" w:rsidRPr="003E27BD" w:rsidTr="003E27B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Total </w:t>
            </w: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eastAsia="en-NZ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eastAsia="en-NZ"/>
              </w:rPr>
              <w:t> </w:t>
            </w:r>
          </w:p>
        </w:tc>
      </w:tr>
      <w:tr w:rsidR="003E27BD" w:rsidRPr="003E27BD" w:rsidTr="003E27BD">
        <w:tc>
          <w:tcPr>
            <w:tcW w:w="5253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b/>
                <w:bCs/>
                <w:sz w:val="28"/>
                <w:szCs w:val="28"/>
                <w:lang w:val="en-US" w:eastAsia="en-NZ"/>
              </w:rPr>
              <w:t>Age Group</w:t>
            </w:r>
            <w:r w:rsidRPr="003E27BD">
              <w:rPr>
                <w:rFonts w:eastAsia="Times New Roman"/>
                <w:sz w:val="28"/>
                <w:szCs w:val="28"/>
                <w:lang w:eastAsia="en-NZ"/>
              </w:rPr>
              <w:t> </w:t>
            </w:r>
          </w:p>
        </w:tc>
      </w:tr>
      <w:tr w:rsidR="003E27BD" w:rsidRPr="003E27BD" w:rsidTr="003E27B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sz w:val="28"/>
                <w:szCs w:val="28"/>
                <w:lang w:val="en-US" w:eastAsia="en-NZ"/>
              </w:rPr>
              <w:t>0 – 20 years</w:t>
            </w:r>
            <w:r w:rsidRPr="003E27BD">
              <w:rPr>
                <w:rFonts w:eastAsia="Times New Roman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3916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17</w:t>
            </w:r>
            <w:r w:rsidRPr="003E27BD">
              <w:rPr>
                <w:rFonts w:eastAsia="Times New Roman"/>
                <w:lang w:eastAsia="en-NZ"/>
              </w:rPr>
              <w:t> </w:t>
            </w:r>
            <w:r>
              <w:rPr>
                <w:rFonts w:eastAsia="Times New Roman"/>
                <w:lang w:eastAsia="en-NZ"/>
              </w:rPr>
              <w:t>(7.6%)</w:t>
            </w:r>
          </w:p>
        </w:tc>
      </w:tr>
      <w:tr w:rsidR="003E27BD" w:rsidRPr="003E27BD" w:rsidTr="003E27B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sz w:val="28"/>
                <w:szCs w:val="28"/>
                <w:lang w:val="en-US" w:eastAsia="en-NZ"/>
              </w:rPr>
              <w:t>21 – 40 years</w:t>
            </w:r>
            <w:r w:rsidRPr="003E27BD">
              <w:rPr>
                <w:rFonts w:eastAsia="Times New Roman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3916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39</w:t>
            </w:r>
            <w:r w:rsidRPr="003E27BD">
              <w:rPr>
                <w:rFonts w:eastAsia="Times New Roman"/>
                <w:lang w:eastAsia="en-NZ"/>
              </w:rPr>
              <w:t> </w:t>
            </w:r>
            <w:r>
              <w:rPr>
                <w:rFonts w:eastAsia="Times New Roman"/>
                <w:lang w:eastAsia="en-NZ"/>
              </w:rPr>
              <w:t>(17.3%)</w:t>
            </w:r>
          </w:p>
        </w:tc>
      </w:tr>
      <w:tr w:rsidR="003E27BD" w:rsidRPr="003E27BD" w:rsidTr="003E27B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sz w:val="28"/>
                <w:szCs w:val="28"/>
                <w:lang w:val="en-US" w:eastAsia="en-NZ"/>
              </w:rPr>
              <w:t>41 – 60 years</w:t>
            </w:r>
            <w:r w:rsidRPr="003E27BD">
              <w:rPr>
                <w:rFonts w:eastAsia="Times New Roman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3916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80</w:t>
            </w:r>
            <w:r w:rsidRPr="003E27BD">
              <w:rPr>
                <w:rFonts w:eastAsia="Times New Roman"/>
                <w:lang w:eastAsia="en-NZ"/>
              </w:rPr>
              <w:t> </w:t>
            </w:r>
            <w:r>
              <w:rPr>
                <w:rFonts w:eastAsia="Times New Roman"/>
                <w:lang w:eastAsia="en-NZ"/>
              </w:rPr>
              <w:t>(35.6%)</w:t>
            </w:r>
          </w:p>
        </w:tc>
      </w:tr>
      <w:tr w:rsidR="003E27BD" w:rsidRPr="003E27BD" w:rsidTr="003E27B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sz w:val="28"/>
                <w:szCs w:val="28"/>
                <w:lang w:val="en-US" w:eastAsia="en-NZ"/>
              </w:rPr>
              <w:t>60+</w:t>
            </w:r>
            <w:r w:rsidRPr="003E27BD">
              <w:rPr>
                <w:rFonts w:eastAsia="Times New Roman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3916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27BD" w:rsidRPr="003E27BD" w:rsidRDefault="003E27BD" w:rsidP="003E27B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3E27BD">
              <w:rPr>
                <w:rFonts w:eastAsia="Times New Roman"/>
                <w:lang w:val="en-US" w:eastAsia="en-NZ"/>
              </w:rPr>
              <w:t>88</w:t>
            </w:r>
            <w:r w:rsidRPr="003E27BD">
              <w:rPr>
                <w:rFonts w:eastAsia="Times New Roman"/>
                <w:lang w:eastAsia="en-NZ"/>
              </w:rPr>
              <w:t> </w:t>
            </w:r>
            <w:r>
              <w:rPr>
                <w:rFonts w:eastAsia="Times New Roman"/>
                <w:lang w:eastAsia="en-NZ"/>
              </w:rPr>
              <w:t>(39.1%)</w:t>
            </w:r>
          </w:p>
        </w:tc>
      </w:tr>
    </w:tbl>
    <w:p w:rsidR="003E27BD" w:rsidRPr="003E27BD" w:rsidRDefault="003E27BD" w:rsidP="003E27BD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NZ"/>
        </w:rPr>
      </w:pPr>
      <w:r w:rsidRPr="003E27BD">
        <w:rPr>
          <w:rFonts w:eastAsia="Times New Roman" w:cs="Segoe UI"/>
          <w:lang w:eastAsia="en-NZ"/>
        </w:rPr>
        <w:t> </w:t>
      </w:r>
    </w:p>
    <w:p w:rsidR="006A3F75" w:rsidRDefault="003E27BD" w:rsidP="006A3F75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Most days we had finished with patients around 4pm, so with my spare time </w:t>
      </w:r>
      <w:r w:rsidR="006A3F75">
        <w:rPr>
          <w:rFonts w:ascii="Calibri" w:hAnsi="Calibri"/>
          <w:color w:val="444444"/>
          <w:sz w:val="23"/>
          <w:szCs w:val="23"/>
        </w:rPr>
        <w:t xml:space="preserve">I spent some </w:t>
      </w:r>
      <w:r w:rsidR="004117E4">
        <w:rPr>
          <w:rFonts w:ascii="Calibri" w:hAnsi="Calibri"/>
          <w:color w:val="444444"/>
          <w:sz w:val="23"/>
          <w:szCs w:val="23"/>
        </w:rPr>
        <w:t xml:space="preserve">entertaining </w:t>
      </w:r>
      <w:r w:rsidR="006A3F75">
        <w:rPr>
          <w:rFonts w:ascii="Calibri" w:hAnsi="Calibri"/>
          <w:color w:val="444444"/>
          <w:sz w:val="23"/>
          <w:szCs w:val="23"/>
        </w:rPr>
        <w:t xml:space="preserve">time in theatre watching Dr Riley complete a series of complex cataract extractions - the majority of which were SICS (Small-Incision Cataract Surgery). Some interesting cases we came across included a child with a possible rhabdomyosarcoma, a sebaceous cell carcinoma, a dislocated crystalline lens in the vitreous, and as expected, </w:t>
      </w:r>
      <w:proofErr w:type="spellStart"/>
      <w:r w:rsidR="006A3F75">
        <w:rPr>
          <w:rFonts w:ascii="Calibri" w:hAnsi="Calibri"/>
          <w:color w:val="444444"/>
          <w:sz w:val="23"/>
          <w:szCs w:val="23"/>
        </w:rPr>
        <w:t>keratoconus</w:t>
      </w:r>
      <w:proofErr w:type="spellEnd"/>
      <w:r w:rsidR="006A3F75">
        <w:rPr>
          <w:rFonts w:ascii="Calibri" w:hAnsi="Calibri"/>
          <w:color w:val="444444"/>
          <w:sz w:val="23"/>
          <w:szCs w:val="23"/>
        </w:rPr>
        <w:t>, diabetic retinopathy, and dense cataracts.</w:t>
      </w:r>
      <w:r w:rsidR="0099707B">
        <w:rPr>
          <w:rFonts w:ascii="Calibri" w:hAnsi="Calibri"/>
          <w:color w:val="444444"/>
          <w:sz w:val="23"/>
          <w:szCs w:val="23"/>
        </w:rPr>
        <w:t xml:space="preserve"> </w:t>
      </w:r>
      <w:r w:rsidR="00DA02BE">
        <w:rPr>
          <w:rFonts w:ascii="Calibri" w:hAnsi="Calibri"/>
          <w:color w:val="444444"/>
          <w:sz w:val="23"/>
          <w:szCs w:val="23"/>
        </w:rPr>
        <w:t xml:space="preserve">We did not keep a tally of the pathology seen, but I felt we did not see as much pathology as I </w:t>
      </w:r>
      <w:r w:rsidR="001F6A67">
        <w:rPr>
          <w:rFonts w:ascii="Calibri" w:hAnsi="Calibri"/>
          <w:color w:val="444444"/>
          <w:sz w:val="23"/>
          <w:szCs w:val="23"/>
        </w:rPr>
        <w:t>had initially expec</w:t>
      </w:r>
      <w:r w:rsidR="00DA02BE">
        <w:rPr>
          <w:rFonts w:ascii="Calibri" w:hAnsi="Calibri"/>
          <w:color w:val="444444"/>
          <w:sz w:val="23"/>
          <w:szCs w:val="23"/>
        </w:rPr>
        <w:t>ted</w:t>
      </w:r>
      <w:r w:rsidR="001F6A67">
        <w:rPr>
          <w:rFonts w:ascii="Calibri" w:hAnsi="Calibri"/>
          <w:color w:val="444444"/>
          <w:sz w:val="23"/>
          <w:szCs w:val="23"/>
        </w:rPr>
        <w:t xml:space="preserve">. In particular, there were many patients in whom there was no diabetic retinopathy, which was also evident from their previous visits. Perhaps they’re all great at controlling their blood glucose levels! </w:t>
      </w:r>
      <w:r w:rsidR="00710FC3">
        <w:rPr>
          <w:rFonts w:ascii="Calibri" w:hAnsi="Calibri"/>
          <w:color w:val="444444"/>
          <w:sz w:val="23"/>
          <w:szCs w:val="23"/>
          <w:shd w:val="clear" w:color="auto" w:fill="FFFFFF"/>
        </w:rPr>
        <w:t>The local nurses are well trained and are now very experienced and VOSO is now moving into a supportive role where we supplement their training and assist in cases where needed.</w:t>
      </w:r>
      <w:r w:rsidR="0099707B">
        <w:rPr>
          <w:rFonts w:ascii="Calibri" w:hAnsi="Calibri"/>
          <w:color w:val="444444"/>
          <w:sz w:val="23"/>
          <w:szCs w:val="23"/>
        </w:rPr>
        <w:t xml:space="preserve"> Toward the end of our visit the</w:t>
      </w:r>
      <w:r w:rsidR="004117E4">
        <w:rPr>
          <w:rFonts w:ascii="Calibri" w:hAnsi="Calibri"/>
          <w:color w:val="444444"/>
          <w:sz w:val="23"/>
          <w:szCs w:val="23"/>
        </w:rPr>
        <w:t xml:space="preserve"> clinic staff</w:t>
      </w:r>
      <w:r w:rsidR="0099707B">
        <w:rPr>
          <w:rFonts w:ascii="Calibri" w:hAnsi="Calibri"/>
          <w:color w:val="444444"/>
          <w:sz w:val="23"/>
          <w:szCs w:val="23"/>
        </w:rPr>
        <w:t xml:space="preserve"> treated </w:t>
      </w:r>
      <w:r w:rsidR="004117E4">
        <w:rPr>
          <w:rFonts w:ascii="Calibri" w:hAnsi="Calibri"/>
          <w:color w:val="444444"/>
          <w:sz w:val="23"/>
          <w:szCs w:val="23"/>
        </w:rPr>
        <w:t xml:space="preserve">us </w:t>
      </w:r>
      <w:r w:rsidR="0099707B">
        <w:rPr>
          <w:rFonts w:ascii="Calibri" w:hAnsi="Calibri"/>
          <w:color w:val="444444"/>
          <w:sz w:val="23"/>
          <w:szCs w:val="23"/>
        </w:rPr>
        <w:t xml:space="preserve">to a night of entertainment, including </w:t>
      </w:r>
      <w:r w:rsidR="00710FC3">
        <w:rPr>
          <w:rFonts w:ascii="Calibri" w:hAnsi="Calibri"/>
          <w:color w:val="444444"/>
          <w:sz w:val="23"/>
          <w:szCs w:val="23"/>
        </w:rPr>
        <w:t xml:space="preserve">a </w:t>
      </w:r>
      <w:r w:rsidR="0099707B">
        <w:rPr>
          <w:rFonts w:ascii="Calibri" w:hAnsi="Calibri"/>
          <w:color w:val="444444"/>
          <w:sz w:val="23"/>
          <w:szCs w:val="23"/>
        </w:rPr>
        <w:t>traditional Tongan dancing and a local feast.</w:t>
      </w:r>
    </w:p>
    <w:p w:rsidR="006A3F75" w:rsidRDefault="006A3F75" w:rsidP="006A3F75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Initially the weather was not in our favour; very wet yet a comfortable 24 degrees with low humidity. Through the week the weather improved however, and the combination of fresh papaya and coconuts, fresh fish, and after-work wharf-jumping and snorkelling left us with a sense that we were actually on holiday. I’ve learnt that diving masks and beards do not go well together, so I guess that means I won’t be snorkelling again! The coastline of the main island of </w:t>
      </w:r>
      <w:proofErr w:type="spellStart"/>
      <w:r>
        <w:rPr>
          <w:rFonts w:ascii="Calibri" w:hAnsi="Calibri"/>
          <w:color w:val="444444"/>
          <w:sz w:val="23"/>
          <w:szCs w:val="23"/>
        </w:rPr>
        <w:t>Tongatapu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is stunning, and is only one of a few places in the world where Humpback whales migrate to breed in the warm Tongan waters. Their journey from Antarctica is over 8,500km and takes around 7-8 weeks to reach Tonga.</w:t>
      </w:r>
    </w:p>
    <w:p w:rsidR="006A3F75" w:rsidRDefault="00F34DB4" w:rsidP="006A3F75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The assistance from foreign governments is evident however the basic healthcare in Tonga has a long way to go. Thankfully, there are numerous medical teams from Australasia helping out our sunny neighbours in need. </w:t>
      </w:r>
      <w:r w:rsidR="006A3F75">
        <w:rPr>
          <w:rFonts w:ascii="Calibri" w:hAnsi="Calibri"/>
          <w:color w:val="444444"/>
          <w:sz w:val="23"/>
          <w:szCs w:val="23"/>
        </w:rPr>
        <w:t>Within our team, this wa</w:t>
      </w:r>
      <w:r w:rsidR="009E690A">
        <w:rPr>
          <w:rFonts w:ascii="Calibri" w:hAnsi="Calibri"/>
          <w:color w:val="444444"/>
          <w:sz w:val="23"/>
          <w:szCs w:val="23"/>
        </w:rPr>
        <w:t xml:space="preserve">s my first VOSO trip. </w:t>
      </w:r>
      <w:r w:rsidR="001F6A67">
        <w:rPr>
          <w:rFonts w:ascii="Calibri" w:hAnsi="Calibri"/>
          <w:color w:val="444444"/>
          <w:sz w:val="23"/>
          <w:szCs w:val="23"/>
        </w:rPr>
        <w:t xml:space="preserve">I couldn’t have asked for a better team to go with. </w:t>
      </w:r>
      <w:r w:rsidR="009E690A">
        <w:rPr>
          <w:rFonts w:ascii="Calibri" w:hAnsi="Calibri"/>
          <w:color w:val="444444"/>
          <w:sz w:val="23"/>
          <w:szCs w:val="23"/>
        </w:rPr>
        <w:t>It wa</w:t>
      </w:r>
      <w:r w:rsidR="006A3F75">
        <w:rPr>
          <w:rFonts w:ascii="Calibri" w:hAnsi="Calibri"/>
          <w:color w:val="444444"/>
          <w:sz w:val="23"/>
          <w:szCs w:val="23"/>
        </w:rPr>
        <w:t xml:space="preserve">s </w:t>
      </w:r>
      <w:r w:rsidR="004117E4">
        <w:rPr>
          <w:rFonts w:ascii="Calibri" w:hAnsi="Calibri"/>
          <w:color w:val="444444"/>
          <w:sz w:val="23"/>
          <w:szCs w:val="23"/>
        </w:rPr>
        <w:t xml:space="preserve">truly </w:t>
      </w:r>
      <w:r>
        <w:rPr>
          <w:rFonts w:ascii="Calibri" w:hAnsi="Calibri"/>
          <w:color w:val="444444"/>
          <w:sz w:val="23"/>
          <w:szCs w:val="23"/>
        </w:rPr>
        <w:t xml:space="preserve">a </w:t>
      </w:r>
      <w:r w:rsidR="006A3F75">
        <w:rPr>
          <w:rFonts w:ascii="Calibri" w:hAnsi="Calibri"/>
          <w:color w:val="444444"/>
          <w:sz w:val="23"/>
          <w:szCs w:val="23"/>
        </w:rPr>
        <w:t>rewardi</w:t>
      </w:r>
      <w:r w:rsidR="004117E4">
        <w:rPr>
          <w:rFonts w:ascii="Calibri" w:hAnsi="Calibri"/>
          <w:color w:val="444444"/>
          <w:sz w:val="23"/>
          <w:szCs w:val="23"/>
        </w:rPr>
        <w:t xml:space="preserve">ng </w:t>
      </w:r>
      <w:r>
        <w:rPr>
          <w:rFonts w:ascii="Calibri" w:hAnsi="Calibri"/>
          <w:color w:val="444444"/>
          <w:sz w:val="23"/>
          <w:szCs w:val="23"/>
        </w:rPr>
        <w:t xml:space="preserve">experience </w:t>
      </w:r>
      <w:r w:rsidR="000570E9">
        <w:rPr>
          <w:rFonts w:ascii="Calibri" w:hAnsi="Calibri"/>
          <w:color w:val="444444"/>
          <w:sz w:val="23"/>
          <w:szCs w:val="23"/>
        </w:rPr>
        <w:t>and the locals’</w:t>
      </w:r>
      <w:bookmarkStart w:id="0" w:name="_GoBack"/>
      <w:bookmarkEnd w:id="0"/>
      <w:r w:rsidR="00D85272">
        <w:rPr>
          <w:rFonts w:ascii="Calibri" w:hAnsi="Calibri"/>
          <w:color w:val="444444"/>
          <w:sz w:val="23"/>
          <w:szCs w:val="23"/>
        </w:rPr>
        <w:t xml:space="preserve"> grateful smiles made it a</w:t>
      </w:r>
      <w:r w:rsidR="003C1D71">
        <w:rPr>
          <w:rFonts w:ascii="Calibri" w:hAnsi="Calibri"/>
          <w:color w:val="444444"/>
          <w:sz w:val="23"/>
          <w:szCs w:val="23"/>
        </w:rPr>
        <w:t>ll the more</w:t>
      </w:r>
      <w:r w:rsidR="004117E4">
        <w:rPr>
          <w:rFonts w:ascii="Calibri" w:hAnsi="Calibri"/>
          <w:color w:val="444444"/>
          <w:sz w:val="23"/>
          <w:szCs w:val="23"/>
        </w:rPr>
        <w:t xml:space="preserve"> better</w:t>
      </w:r>
      <w:r>
        <w:rPr>
          <w:rFonts w:ascii="Calibri" w:hAnsi="Calibri"/>
          <w:color w:val="444444"/>
          <w:sz w:val="23"/>
          <w:szCs w:val="23"/>
        </w:rPr>
        <w:t xml:space="preserve"> - I look forward to returning!</w:t>
      </w:r>
    </w:p>
    <w:p w:rsidR="00442A9F" w:rsidRDefault="00442A9F" w:rsidP="006A3F75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</w:p>
    <w:p w:rsidR="00442A9F" w:rsidRDefault="00442A9F" w:rsidP="00442A9F">
      <w:pPr>
        <w:pStyle w:val="NoSpacing"/>
      </w:pPr>
      <w:r>
        <w:t xml:space="preserve">Jason </w:t>
      </w:r>
      <w:proofErr w:type="spellStart"/>
      <w:r>
        <w:t>Dhana</w:t>
      </w:r>
      <w:proofErr w:type="spellEnd"/>
    </w:p>
    <w:p w:rsidR="00442A9F" w:rsidRDefault="00442A9F" w:rsidP="00442A9F">
      <w:pPr>
        <w:pStyle w:val="NoSpacing"/>
      </w:pPr>
      <w:r>
        <w:t>Optometrist</w:t>
      </w:r>
    </w:p>
    <w:p w:rsidR="00D85272" w:rsidRDefault="00D85272" w:rsidP="006A3F75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</w:p>
    <w:p w:rsidR="0010415A" w:rsidRDefault="00D85272" w:rsidP="00A466B2">
      <w:pPr>
        <w:pStyle w:val="ecxmsonormal"/>
        <w:shd w:val="clear" w:color="auto" w:fill="FFFFFF"/>
        <w:spacing w:before="0" w:beforeAutospacing="0" w:after="324" w:afterAutospacing="0" w:line="320" w:lineRule="atLeast"/>
      </w:pPr>
      <w:r>
        <w:rPr>
          <w:rFonts w:ascii="Calibri" w:hAnsi="Calibri"/>
          <w:b/>
          <w:color w:val="444444"/>
          <w:sz w:val="144"/>
          <w:szCs w:val="23"/>
          <w:highlight w:val="yellow"/>
        </w:rPr>
        <w:t xml:space="preserve">    </w:t>
      </w:r>
    </w:p>
    <w:sectPr w:rsidR="00104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75"/>
    <w:rsid w:val="00004ED0"/>
    <w:rsid w:val="00011EE3"/>
    <w:rsid w:val="000570E9"/>
    <w:rsid w:val="00063911"/>
    <w:rsid w:val="00096AEC"/>
    <w:rsid w:val="000A3BDF"/>
    <w:rsid w:val="000B3809"/>
    <w:rsid w:val="0010415A"/>
    <w:rsid w:val="001269B9"/>
    <w:rsid w:val="00140069"/>
    <w:rsid w:val="00146315"/>
    <w:rsid w:val="001C2BB5"/>
    <w:rsid w:val="001F6A67"/>
    <w:rsid w:val="0026633B"/>
    <w:rsid w:val="00272253"/>
    <w:rsid w:val="002731AC"/>
    <w:rsid w:val="002743B8"/>
    <w:rsid w:val="00281E6E"/>
    <w:rsid w:val="00287BE9"/>
    <w:rsid w:val="002A33A7"/>
    <w:rsid w:val="002B4B20"/>
    <w:rsid w:val="003002BF"/>
    <w:rsid w:val="00321CE9"/>
    <w:rsid w:val="003340E9"/>
    <w:rsid w:val="0037456D"/>
    <w:rsid w:val="00397912"/>
    <w:rsid w:val="003C1D71"/>
    <w:rsid w:val="003E27BD"/>
    <w:rsid w:val="003E3175"/>
    <w:rsid w:val="004117E4"/>
    <w:rsid w:val="0041589D"/>
    <w:rsid w:val="00437AD5"/>
    <w:rsid w:val="00442A9F"/>
    <w:rsid w:val="004C4D38"/>
    <w:rsid w:val="004C6EFE"/>
    <w:rsid w:val="004D417F"/>
    <w:rsid w:val="004E66D9"/>
    <w:rsid w:val="00566126"/>
    <w:rsid w:val="0059719C"/>
    <w:rsid w:val="005A3CE2"/>
    <w:rsid w:val="005B6606"/>
    <w:rsid w:val="005C0F10"/>
    <w:rsid w:val="005E225D"/>
    <w:rsid w:val="00604769"/>
    <w:rsid w:val="00661016"/>
    <w:rsid w:val="006664F8"/>
    <w:rsid w:val="0068654D"/>
    <w:rsid w:val="006A3F75"/>
    <w:rsid w:val="00710FC3"/>
    <w:rsid w:val="00722D4E"/>
    <w:rsid w:val="00776A40"/>
    <w:rsid w:val="00810973"/>
    <w:rsid w:val="008113C0"/>
    <w:rsid w:val="00823165"/>
    <w:rsid w:val="00864A1C"/>
    <w:rsid w:val="00882AD4"/>
    <w:rsid w:val="00895963"/>
    <w:rsid w:val="008D1843"/>
    <w:rsid w:val="008E1A8B"/>
    <w:rsid w:val="008E5AC1"/>
    <w:rsid w:val="0094213F"/>
    <w:rsid w:val="00946331"/>
    <w:rsid w:val="00987563"/>
    <w:rsid w:val="0099503A"/>
    <w:rsid w:val="0099707B"/>
    <w:rsid w:val="009E690A"/>
    <w:rsid w:val="00A02B65"/>
    <w:rsid w:val="00A07ECB"/>
    <w:rsid w:val="00A24C0A"/>
    <w:rsid w:val="00A466B2"/>
    <w:rsid w:val="00A50F31"/>
    <w:rsid w:val="00A52F48"/>
    <w:rsid w:val="00AD5DC1"/>
    <w:rsid w:val="00AF1697"/>
    <w:rsid w:val="00B231A3"/>
    <w:rsid w:val="00B34D6A"/>
    <w:rsid w:val="00B42707"/>
    <w:rsid w:val="00B97C8E"/>
    <w:rsid w:val="00BA0788"/>
    <w:rsid w:val="00BC0A7C"/>
    <w:rsid w:val="00C103F3"/>
    <w:rsid w:val="00C33BBA"/>
    <w:rsid w:val="00C57AEE"/>
    <w:rsid w:val="00CA54B6"/>
    <w:rsid w:val="00CA6BA8"/>
    <w:rsid w:val="00D243E1"/>
    <w:rsid w:val="00D66089"/>
    <w:rsid w:val="00D85272"/>
    <w:rsid w:val="00DA02BE"/>
    <w:rsid w:val="00DD0CAA"/>
    <w:rsid w:val="00DF20DC"/>
    <w:rsid w:val="00E10634"/>
    <w:rsid w:val="00E11C4D"/>
    <w:rsid w:val="00E2047F"/>
    <w:rsid w:val="00E34A4B"/>
    <w:rsid w:val="00E428C8"/>
    <w:rsid w:val="00E6196F"/>
    <w:rsid w:val="00E93909"/>
    <w:rsid w:val="00EE6CC3"/>
    <w:rsid w:val="00F060B7"/>
    <w:rsid w:val="00F15153"/>
    <w:rsid w:val="00F329E4"/>
    <w:rsid w:val="00F34DB4"/>
    <w:rsid w:val="00F80C2A"/>
    <w:rsid w:val="00F86D32"/>
    <w:rsid w:val="00F961CD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855C01-0A37-49B7-99BD-7979EFB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A3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8E1A8B"/>
  </w:style>
  <w:style w:type="paragraph" w:customStyle="1" w:styleId="paragraph">
    <w:name w:val="paragraph"/>
    <w:basedOn w:val="Normal"/>
    <w:rsid w:val="003E2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normaltextrun">
    <w:name w:val="normaltextrun"/>
    <w:rsid w:val="003E27BD"/>
  </w:style>
  <w:style w:type="character" w:customStyle="1" w:styleId="eop">
    <w:name w:val="eop"/>
    <w:rsid w:val="003E27BD"/>
  </w:style>
  <w:style w:type="paragraph" w:styleId="NoSpacing">
    <w:name w:val="No Spacing"/>
    <w:uiPriority w:val="1"/>
    <w:qFormat/>
    <w:rsid w:val="00442A9F"/>
    <w:rPr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7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Jason Dhana (ADHB)</cp:lastModifiedBy>
  <cp:revision>4</cp:revision>
  <dcterms:created xsi:type="dcterms:W3CDTF">2016-09-10T01:43:00Z</dcterms:created>
  <dcterms:modified xsi:type="dcterms:W3CDTF">2016-09-10T01:43:00Z</dcterms:modified>
</cp:coreProperties>
</file>